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9C" w:rsidRPr="00A35F6B" w:rsidRDefault="00A25A9C" w:rsidP="00A25A9C">
      <w:pPr>
        <w:widowControl w:val="0"/>
        <w:autoSpaceDE w:val="0"/>
        <w:autoSpaceDN w:val="0"/>
        <w:adjustRightInd w:val="0"/>
        <w:spacing w:after="0" w:line="240" w:lineRule="auto"/>
        <w:ind w:left="720" w:right="18"/>
        <w:jc w:val="center"/>
        <w:rPr>
          <w:rFonts w:ascii="Times New Roman" w:hAnsi="Times New Roman"/>
          <w:szCs w:val="24"/>
        </w:rPr>
      </w:pPr>
      <w:r w:rsidRPr="00A35F6B">
        <w:rPr>
          <w:rFonts w:ascii="Times New Roman" w:hAnsi="Times New Roman"/>
          <w:noProof/>
          <w:sz w:val="20"/>
          <w:lang w:eastAsia="en-PH"/>
        </w:rPr>
        <w:drawing>
          <wp:anchor distT="0" distB="0" distL="114300" distR="114300" simplePos="0" relativeHeight="251659264" behindDoc="1" locked="0" layoutInCell="1" allowOverlap="1" wp14:anchorId="53C0C1BE" wp14:editId="24D5751C">
            <wp:simplePos x="0" y="0"/>
            <wp:positionH relativeFrom="column">
              <wp:posOffset>581828</wp:posOffset>
            </wp:positionH>
            <wp:positionV relativeFrom="paragraph">
              <wp:posOffset>-150495</wp:posOffset>
            </wp:positionV>
            <wp:extent cx="621102" cy="627603"/>
            <wp:effectExtent l="0" t="0" r="7620" b="1270"/>
            <wp:wrapNone/>
            <wp:docPr id="3" name="Picture 2" descr="C:\Users\IPTTO\AppData\Local\Microsoft\Windows\INetCache\Content.Word\UP LOGO VECTOR-01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PTTO\AppData\Local\Microsoft\Windows\INetCache\Content.Word\UP LOGO VECTOR-01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102" cy="6276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6B">
        <w:rPr>
          <w:rFonts w:ascii="Times New Roman" w:hAnsi="Times New Roman"/>
          <w:spacing w:val="-5"/>
          <w:sz w:val="24"/>
          <w:szCs w:val="28"/>
        </w:rPr>
        <w:t>UNIVERSITY OF THE PHILIPPINES</w:t>
      </w:r>
    </w:p>
    <w:p w:rsidR="00A25A9C" w:rsidRPr="00A35F6B" w:rsidRDefault="00A25A9C" w:rsidP="00A25A9C">
      <w:pPr>
        <w:widowControl w:val="0"/>
        <w:autoSpaceDE w:val="0"/>
        <w:autoSpaceDN w:val="0"/>
        <w:adjustRightInd w:val="0"/>
        <w:spacing w:after="0" w:line="240" w:lineRule="auto"/>
        <w:ind w:left="720" w:right="18"/>
        <w:jc w:val="center"/>
        <w:rPr>
          <w:rFonts w:ascii="Times New Roman" w:hAnsi="Times New Roman"/>
          <w:b/>
          <w:bCs/>
          <w:spacing w:val="-4"/>
          <w:sz w:val="24"/>
          <w:szCs w:val="28"/>
        </w:rPr>
      </w:pPr>
      <w:r w:rsidRPr="00A35F6B">
        <w:rPr>
          <w:rFonts w:ascii="Times New Roman" w:hAnsi="Times New Roman"/>
          <w:b/>
          <w:bCs/>
          <w:spacing w:val="-4"/>
          <w:sz w:val="24"/>
          <w:szCs w:val="28"/>
        </w:rPr>
        <w:t>Office of the Vice Chancellor for Research and Development</w:t>
      </w:r>
    </w:p>
    <w:p w:rsidR="00A25A9C" w:rsidRPr="00A35F6B" w:rsidRDefault="00A25A9C" w:rsidP="00A25A9C">
      <w:pPr>
        <w:widowControl w:val="0"/>
        <w:pBdr>
          <w:bottom w:val="single" w:sz="6" w:space="1" w:color="auto"/>
        </w:pBdr>
        <w:autoSpaceDE w:val="0"/>
        <w:autoSpaceDN w:val="0"/>
        <w:adjustRightInd w:val="0"/>
        <w:spacing w:after="0" w:line="240" w:lineRule="auto"/>
        <w:ind w:right="2"/>
        <w:jc w:val="center"/>
        <w:rPr>
          <w:rFonts w:ascii="Times New Roman" w:hAnsi="Times New Roman"/>
          <w:szCs w:val="24"/>
        </w:rPr>
      </w:pPr>
      <w:r>
        <w:rPr>
          <w:rFonts w:ascii="Times New Roman" w:hAnsi="Times New Roman"/>
          <w:szCs w:val="24"/>
        </w:rPr>
        <w:t xml:space="preserve">              Intellectual Property and Technology Transfer</w:t>
      </w:r>
    </w:p>
    <w:p w:rsidR="00A25A9C" w:rsidRPr="00421DF7" w:rsidRDefault="00A25A9C" w:rsidP="00A25A9C">
      <w:pPr>
        <w:widowControl w:val="0"/>
        <w:autoSpaceDE w:val="0"/>
        <w:autoSpaceDN w:val="0"/>
        <w:adjustRightInd w:val="0"/>
        <w:spacing w:after="0" w:line="240" w:lineRule="auto"/>
        <w:ind w:right="2"/>
        <w:rPr>
          <w:rFonts w:ascii="Times New Roman" w:hAnsi="Times New Roman"/>
          <w:sz w:val="24"/>
          <w:szCs w:val="24"/>
        </w:rPr>
      </w:pPr>
    </w:p>
    <w:p w:rsidR="00244DE7" w:rsidRDefault="00244DE7" w:rsidP="00244DE7">
      <w:pPr>
        <w:spacing w:after="0" w:line="240" w:lineRule="auto"/>
        <w:jc w:val="center"/>
        <w:rPr>
          <w:rFonts w:cs="Times New Roman"/>
          <w:b/>
          <w:sz w:val="20"/>
          <w:szCs w:val="20"/>
        </w:rPr>
      </w:pPr>
      <w:r w:rsidRPr="00B16943">
        <w:rPr>
          <w:rFonts w:cs="Times New Roman"/>
          <w:b/>
          <w:sz w:val="20"/>
          <w:szCs w:val="20"/>
        </w:rPr>
        <w:t>Request to Use UP Trademarks, Symbols, Images, Icons and Other Marks</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980"/>
        <w:gridCol w:w="1990"/>
        <w:gridCol w:w="4490"/>
      </w:tblGrid>
      <w:tr w:rsidR="009748DE" w:rsidRPr="00A25A9C" w:rsidTr="009748DE">
        <w:tblPrEx>
          <w:tblCellMar>
            <w:top w:w="0" w:type="dxa"/>
            <w:bottom w:w="0" w:type="dxa"/>
          </w:tblCellMar>
        </w:tblPrEx>
        <w:trPr>
          <w:trHeight w:val="100"/>
          <w:jc w:val="center"/>
        </w:trPr>
        <w:tc>
          <w:tcPr>
            <w:tcW w:w="1525" w:type="dxa"/>
            <w:shd w:val="clear" w:color="auto" w:fill="DEEAF6" w:themeFill="accent1" w:themeFillTint="33"/>
            <w:vAlign w:val="center"/>
          </w:tcPr>
          <w:p w:rsidR="00244DE7" w:rsidRPr="00A25A9C" w:rsidRDefault="00244DE7" w:rsidP="00244DE7">
            <w:pPr>
              <w:pStyle w:val="Default"/>
              <w:rPr>
                <w:b/>
                <w:sz w:val="18"/>
                <w:szCs w:val="22"/>
              </w:rPr>
            </w:pPr>
            <w:r w:rsidRPr="00A25A9C">
              <w:rPr>
                <w:b/>
                <w:sz w:val="18"/>
                <w:szCs w:val="22"/>
              </w:rPr>
              <w:t>Date:</w:t>
            </w:r>
          </w:p>
        </w:tc>
        <w:tc>
          <w:tcPr>
            <w:tcW w:w="1980" w:type="dxa"/>
            <w:shd w:val="clear" w:color="auto" w:fill="DEEAF6" w:themeFill="accent1" w:themeFillTint="33"/>
            <w:vAlign w:val="center"/>
          </w:tcPr>
          <w:p w:rsidR="00244DE7" w:rsidRPr="00A25A9C" w:rsidRDefault="00244DE7" w:rsidP="00244DE7">
            <w:pPr>
              <w:pStyle w:val="Default"/>
              <w:rPr>
                <w:sz w:val="18"/>
                <w:szCs w:val="22"/>
              </w:rPr>
            </w:pPr>
          </w:p>
        </w:tc>
        <w:tc>
          <w:tcPr>
            <w:tcW w:w="1990" w:type="dxa"/>
            <w:shd w:val="clear" w:color="auto" w:fill="DEEAF6" w:themeFill="accent1" w:themeFillTint="33"/>
            <w:vAlign w:val="center"/>
          </w:tcPr>
          <w:p w:rsidR="00244DE7" w:rsidRPr="00A25A9C" w:rsidRDefault="00244DE7" w:rsidP="00244DE7">
            <w:pPr>
              <w:pStyle w:val="Default"/>
              <w:rPr>
                <w:b/>
                <w:sz w:val="18"/>
                <w:szCs w:val="22"/>
              </w:rPr>
            </w:pPr>
            <w:r w:rsidRPr="00A25A9C">
              <w:rPr>
                <w:b/>
                <w:sz w:val="18"/>
                <w:szCs w:val="22"/>
              </w:rPr>
              <w:t>TM License No.:</w:t>
            </w:r>
          </w:p>
        </w:tc>
        <w:tc>
          <w:tcPr>
            <w:tcW w:w="4490" w:type="dxa"/>
            <w:shd w:val="clear" w:color="auto" w:fill="DEEAF6" w:themeFill="accent1" w:themeFillTint="33"/>
            <w:vAlign w:val="center"/>
          </w:tcPr>
          <w:p w:rsidR="00244DE7" w:rsidRPr="00A25A9C" w:rsidRDefault="00244DE7" w:rsidP="00244DE7">
            <w:pPr>
              <w:pStyle w:val="Default"/>
              <w:rPr>
                <w:sz w:val="18"/>
                <w:szCs w:val="22"/>
              </w:rPr>
            </w:pPr>
          </w:p>
        </w:tc>
      </w:tr>
      <w:tr w:rsidR="009748DE" w:rsidRPr="00A25A9C" w:rsidTr="009748DE">
        <w:tblPrEx>
          <w:tblCellMar>
            <w:top w:w="0" w:type="dxa"/>
            <w:bottom w:w="0" w:type="dxa"/>
          </w:tblCellMar>
        </w:tblPrEx>
        <w:trPr>
          <w:trHeight w:val="100"/>
          <w:jc w:val="center"/>
        </w:trPr>
        <w:tc>
          <w:tcPr>
            <w:tcW w:w="1525" w:type="dxa"/>
            <w:shd w:val="clear" w:color="auto" w:fill="DEEAF6" w:themeFill="accent1" w:themeFillTint="33"/>
            <w:vAlign w:val="center"/>
          </w:tcPr>
          <w:p w:rsidR="009748DE" w:rsidRPr="00A25A9C" w:rsidRDefault="009748DE" w:rsidP="00244DE7">
            <w:pPr>
              <w:pStyle w:val="Default"/>
              <w:rPr>
                <w:b/>
                <w:sz w:val="18"/>
                <w:szCs w:val="22"/>
              </w:rPr>
            </w:pPr>
            <w:r>
              <w:rPr>
                <w:b/>
                <w:sz w:val="18"/>
                <w:szCs w:val="22"/>
              </w:rPr>
              <w:t>Organization:</w:t>
            </w:r>
          </w:p>
        </w:tc>
        <w:tc>
          <w:tcPr>
            <w:tcW w:w="1980" w:type="dxa"/>
            <w:shd w:val="clear" w:color="auto" w:fill="DEEAF6" w:themeFill="accent1" w:themeFillTint="33"/>
            <w:vAlign w:val="center"/>
          </w:tcPr>
          <w:p w:rsidR="009748DE" w:rsidRPr="00A25A9C" w:rsidRDefault="009748DE" w:rsidP="00244DE7">
            <w:pPr>
              <w:pStyle w:val="Default"/>
              <w:rPr>
                <w:sz w:val="18"/>
                <w:szCs w:val="22"/>
              </w:rPr>
            </w:pPr>
          </w:p>
        </w:tc>
        <w:tc>
          <w:tcPr>
            <w:tcW w:w="1990" w:type="dxa"/>
            <w:shd w:val="clear" w:color="auto" w:fill="DEEAF6" w:themeFill="accent1" w:themeFillTint="33"/>
            <w:vAlign w:val="center"/>
          </w:tcPr>
          <w:p w:rsidR="009748DE" w:rsidRPr="00A25A9C" w:rsidRDefault="009748DE" w:rsidP="00244DE7">
            <w:pPr>
              <w:pStyle w:val="Default"/>
              <w:rPr>
                <w:b/>
                <w:sz w:val="18"/>
                <w:szCs w:val="22"/>
              </w:rPr>
            </w:pPr>
            <w:r>
              <w:rPr>
                <w:b/>
                <w:sz w:val="18"/>
                <w:szCs w:val="22"/>
              </w:rPr>
              <w:t>Mark/s Licensed:</w:t>
            </w:r>
          </w:p>
        </w:tc>
        <w:tc>
          <w:tcPr>
            <w:tcW w:w="4490" w:type="dxa"/>
            <w:shd w:val="clear" w:color="auto" w:fill="DEEAF6" w:themeFill="accent1" w:themeFillTint="33"/>
            <w:vAlign w:val="center"/>
          </w:tcPr>
          <w:p w:rsidR="009748DE" w:rsidRPr="00A25A9C" w:rsidRDefault="009748DE" w:rsidP="00244DE7">
            <w:pPr>
              <w:pStyle w:val="Default"/>
              <w:rPr>
                <w:sz w:val="18"/>
                <w:szCs w:val="22"/>
              </w:rPr>
            </w:pPr>
          </w:p>
        </w:tc>
      </w:tr>
      <w:tr w:rsidR="00244DE7" w:rsidRPr="00A25A9C" w:rsidTr="009748DE">
        <w:tblPrEx>
          <w:tblCellMar>
            <w:top w:w="0" w:type="dxa"/>
            <w:bottom w:w="0" w:type="dxa"/>
          </w:tblCellMar>
        </w:tblPrEx>
        <w:trPr>
          <w:trHeight w:val="100"/>
          <w:jc w:val="center"/>
        </w:trPr>
        <w:tc>
          <w:tcPr>
            <w:tcW w:w="1525" w:type="dxa"/>
            <w:shd w:val="clear" w:color="auto" w:fill="DEEAF6" w:themeFill="accent1" w:themeFillTint="33"/>
          </w:tcPr>
          <w:p w:rsidR="00244DE7" w:rsidRPr="00A25A9C" w:rsidRDefault="00244DE7" w:rsidP="00244DE7">
            <w:pPr>
              <w:pStyle w:val="Default"/>
              <w:rPr>
                <w:rFonts w:asciiTheme="minorHAnsi" w:hAnsiTheme="minorHAnsi"/>
                <w:b/>
                <w:sz w:val="18"/>
                <w:szCs w:val="20"/>
              </w:rPr>
            </w:pPr>
            <w:r w:rsidRPr="00A25A9C">
              <w:rPr>
                <w:rFonts w:asciiTheme="minorHAnsi" w:hAnsiTheme="minorHAnsi"/>
                <w:b/>
                <w:sz w:val="18"/>
                <w:szCs w:val="20"/>
              </w:rPr>
              <w:t>Type of License:</w:t>
            </w:r>
          </w:p>
        </w:tc>
        <w:tc>
          <w:tcPr>
            <w:tcW w:w="1980" w:type="dxa"/>
            <w:shd w:val="clear" w:color="auto" w:fill="DEEAF6" w:themeFill="accent1" w:themeFillTint="33"/>
          </w:tcPr>
          <w:p w:rsidR="00244DE7" w:rsidRPr="00A25A9C" w:rsidRDefault="00244DE7" w:rsidP="00244DE7">
            <w:pPr>
              <w:tabs>
                <w:tab w:val="left" w:pos="337"/>
              </w:tabs>
              <w:spacing w:after="0" w:line="240" w:lineRule="auto"/>
              <w:ind w:left="337" w:hanging="270"/>
              <w:rPr>
                <w:rFonts w:cs="Times New Roman"/>
                <w:sz w:val="18"/>
                <w:szCs w:val="20"/>
              </w:rPr>
            </w:pPr>
            <w:sdt>
              <w:sdtPr>
                <w:rPr>
                  <w:rFonts w:cs="Times New Roman"/>
                  <w:sz w:val="18"/>
                  <w:szCs w:val="20"/>
                </w:rPr>
                <w:id w:val="1390159294"/>
                <w14:checkbox>
                  <w14:checked w14:val="0"/>
                  <w14:checkedState w14:val="2612" w14:font="Arial Unicode MS"/>
                  <w14:uncheckedState w14:val="2610" w14:font="Arial Unicode MS"/>
                </w14:checkbox>
              </w:sdtPr>
              <w:sdtContent>
                <w:r w:rsidRPr="00A25A9C">
                  <w:rPr>
                    <w:rFonts w:ascii="Segoe UI Symbol" w:eastAsia="MS Gothic" w:hAnsi="Segoe UI Symbol" w:cs="Segoe UI Symbol"/>
                    <w:sz w:val="18"/>
                    <w:szCs w:val="20"/>
                  </w:rPr>
                  <w:t>☐</w:t>
                </w:r>
              </w:sdtContent>
            </w:sdt>
            <w:r w:rsidRPr="00A25A9C">
              <w:rPr>
                <w:rFonts w:cs="Times New Roman"/>
                <w:sz w:val="18"/>
                <w:szCs w:val="20"/>
              </w:rPr>
              <w:tab/>
            </w:r>
            <w:r w:rsidRPr="00A25A9C">
              <w:rPr>
                <w:rFonts w:cs="Times New Roman"/>
                <w:b/>
                <w:sz w:val="18"/>
                <w:szCs w:val="20"/>
              </w:rPr>
              <w:t>Royalty-exempt</w:t>
            </w:r>
          </w:p>
        </w:tc>
        <w:tc>
          <w:tcPr>
            <w:tcW w:w="6480" w:type="dxa"/>
            <w:gridSpan w:val="2"/>
            <w:shd w:val="clear" w:color="auto" w:fill="DEEAF6" w:themeFill="accent1" w:themeFillTint="33"/>
            <w:vAlign w:val="center"/>
          </w:tcPr>
          <w:p w:rsidR="00244DE7" w:rsidRPr="00A25A9C" w:rsidRDefault="00244DE7" w:rsidP="00244DE7">
            <w:pPr>
              <w:tabs>
                <w:tab w:val="left" w:pos="380"/>
              </w:tabs>
              <w:spacing w:after="0" w:line="240" w:lineRule="auto"/>
              <w:ind w:left="380" w:hanging="270"/>
              <w:rPr>
                <w:rFonts w:cs="Times New Roman"/>
                <w:sz w:val="18"/>
                <w:szCs w:val="20"/>
              </w:rPr>
            </w:pPr>
            <w:sdt>
              <w:sdtPr>
                <w:rPr>
                  <w:rFonts w:cs="Times New Roman"/>
                  <w:sz w:val="18"/>
                  <w:szCs w:val="20"/>
                </w:rPr>
                <w:id w:val="811140090"/>
                <w14:checkbox>
                  <w14:checked w14:val="0"/>
                  <w14:checkedState w14:val="2612" w14:font="Arial Unicode MS"/>
                  <w14:uncheckedState w14:val="2610" w14:font="Arial Unicode MS"/>
                </w14:checkbox>
              </w:sdtPr>
              <w:sdtContent>
                <w:r w:rsidRPr="00A25A9C">
                  <w:rPr>
                    <w:rFonts w:ascii="Segoe UI Symbol" w:eastAsia="MS Gothic" w:hAnsi="Segoe UI Symbol" w:cs="Segoe UI Symbol"/>
                    <w:sz w:val="18"/>
                    <w:szCs w:val="20"/>
                  </w:rPr>
                  <w:t>☐</w:t>
                </w:r>
              </w:sdtContent>
            </w:sdt>
            <w:r w:rsidRPr="00A25A9C">
              <w:rPr>
                <w:rFonts w:cs="Times New Roman"/>
                <w:sz w:val="18"/>
                <w:szCs w:val="20"/>
              </w:rPr>
              <w:tab/>
            </w:r>
            <w:r w:rsidRPr="00A25A9C">
              <w:rPr>
                <w:rFonts w:cs="Times New Roman"/>
                <w:b/>
                <w:sz w:val="18"/>
                <w:szCs w:val="20"/>
              </w:rPr>
              <w:t>Royalty-bearing</w:t>
            </w:r>
            <w:r w:rsidRPr="00A25A9C">
              <w:rPr>
                <w:rFonts w:cs="Times New Roman"/>
                <w:sz w:val="18"/>
                <w:szCs w:val="20"/>
              </w:rPr>
              <w:t>: 5% Royalty Fee due on _______________</w:t>
            </w:r>
            <w:r w:rsidRPr="00A25A9C">
              <w:rPr>
                <w:rFonts w:cs="Times New Roman"/>
                <w:sz w:val="18"/>
                <w:szCs w:val="20"/>
              </w:rPr>
              <w:t>___</w:t>
            </w:r>
            <w:r w:rsidRPr="00A25A9C">
              <w:rPr>
                <w:rFonts w:cs="Times New Roman"/>
                <w:sz w:val="18"/>
                <w:szCs w:val="20"/>
              </w:rPr>
              <w:t>__</w:t>
            </w:r>
          </w:p>
          <w:p w:rsidR="00244DE7" w:rsidRPr="00A25A9C" w:rsidRDefault="00244DE7" w:rsidP="00244DE7">
            <w:pPr>
              <w:pStyle w:val="Default"/>
              <w:ind w:left="332"/>
              <w:rPr>
                <w:rFonts w:asciiTheme="minorHAnsi" w:hAnsiTheme="minorHAnsi"/>
                <w:sz w:val="18"/>
                <w:szCs w:val="20"/>
              </w:rPr>
            </w:pPr>
            <w:r w:rsidRPr="00A25A9C">
              <w:rPr>
                <w:rFonts w:asciiTheme="minorHAnsi" w:hAnsiTheme="minorHAnsi" w:cs="Times New Roman"/>
                <w:i/>
                <w:sz w:val="18"/>
                <w:szCs w:val="20"/>
              </w:rPr>
              <w:t>(Please bring this conforme and pay at the UP Diliman Cashier’s Office and submit a photocopy of the Official Receipt to OVCRD)</w:t>
            </w:r>
          </w:p>
        </w:tc>
      </w:tr>
    </w:tbl>
    <w:p w:rsidR="00244DE7" w:rsidRDefault="00244DE7" w:rsidP="00244DE7">
      <w:pPr>
        <w:autoSpaceDE w:val="0"/>
        <w:autoSpaceDN w:val="0"/>
        <w:adjustRightInd w:val="0"/>
        <w:spacing w:after="0" w:line="240" w:lineRule="auto"/>
        <w:jc w:val="center"/>
        <w:rPr>
          <w:rFonts w:ascii="Times New Roman" w:hAnsi="Times New Roman" w:cs="Times New Roman"/>
          <w:b/>
          <w:bCs/>
          <w:color w:val="000000"/>
          <w:sz w:val="20"/>
          <w:szCs w:val="20"/>
          <w:u w:val="single"/>
        </w:rPr>
      </w:pPr>
    </w:p>
    <w:p w:rsidR="00244DE7" w:rsidRPr="00A25A9C" w:rsidRDefault="00244DE7" w:rsidP="00244DE7">
      <w:pPr>
        <w:autoSpaceDE w:val="0"/>
        <w:autoSpaceDN w:val="0"/>
        <w:adjustRightInd w:val="0"/>
        <w:spacing w:after="0" w:line="240" w:lineRule="auto"/>
        <w:jc w:val="center"/>
        <w:rPr>
          <w:rFonts w:cs="Times New Roman"/>
          <w:b/>
          <w:bCs/>
          <w:color w:val="000000"/>
          <w:sz w:val="18"/>
          <w:szCs w:val="20"/>
          <w:u w:val="single"/>
        </w:rPr>
      </w:pPr>
      <w:r w:rsidRPr="00A25A9C">
        <w:rPr>
          <w:rFonts w:cs="Times New Roman"/>
          <w:b/>
          <w:bCs/>
          <w:color w:val="000000"/>
          <w:sz w:val="18"/>
          <w:szCs w:val="20"/>
          <w:u w:val="single"/>
        </w:rPr>
        <w:t>TERMS AND CONDITIONS</w:t>
      </w:r>
    </w:p>
    <w:p w:rsidR="00244DE7" w:rsidRPr="00F076D7" w:rsidRDefault="00244DE7" w:rsidP="00244DE7">
      <w:pPr>
        <w:autoSpaceDE w:val="0"/>
        <w:autoSpaceDN w:val="0"/>
        <w:adjustRightInd w:val="0"/>
        <w:spacing w:after="0" w:line="240" w:lineRule="auto"/>
        <w:jc w:val="center"/>
        <w:rPr>
          <w:rFonts w:cs="Times New Roman"/>
          <w:color w:val="000000"/>
          <w:sz w:val="18"/>
          <w:szCs w:val="20"/>
          <w:u w:val="single"/>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The use of the marks on the licensed merchandise that you will produce, make, and/or offer to sell shall be royalty-exempt if sourced from a Trademark (TM) Licensee of UP. If the merchandise will be produced by a non-TM Licensee of UP, your organization shall pay to the university a </w:t>
      </w:r>
      <w:r w:rsidRPr="00A25A9C">
        <w:rPr>
          <w:rFonts w:cs="Times New Roman"/>
          <w:b/>
          <w:bCs/>
          <w:color w:val="000000"/>
          <w:sz w:val="18"/>
          <w:szCs w:val="20"/>
        </w:rPr>
        <w:t>Royalty Fee equal to five per cent (5%) of the merchandise’s wholesale price</w:t>
      </w:r>
      <w:r w:rsidRPr="00A25A9C">
        <w:rPr>
          <w:rFonts w:cs="Times New Roman"/>
          <w:color w:val="000000"/>
          <w:sz w:val="18"/>
          <w:szCs w:val="20"/>
        </w:rPr>
        <w:t>;</w:t>
      </w:r>
    </w:p>
    <w:p w:rsidR="00244DE7" w:rsidRPr="00A25A9C" w:rsidRDefault="00244DE7" w:rsidP="00244DE7">
      <w:pPr>
        <w:pStyle w:val="ListParagraph"/>
        <w:autoSpaceDE w:val="0"/>
        <w:autoSpaceDN w:val="0"/>
        <w:adjustRightInd w:val="0"/>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The privilege of the organization to authorize a non-TM Licensee to manufacture or produce the licensed merchandise is limited to producing the licensed merchandise for your organization only. The organization therefore assumes all responsibility and liability for any and all actions undertaken by the manufacturer which are or shall be contrary to the terms and conditions of this license;</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Within thirty (30) days from the end of duration of the activity, your organization shall render and submit to </w:t>
      </w:r>
      <w:r w:rsidR="0056438C" w:rsidRPr="00A25A9C">
        <w:rPr>
          <w:rFonts w:cs="Times New Roman"/>
          <w:color w:val="000000"/>
          <w:sz w:val="18"/>
          <w:szCs w:val="20"/>
        </w:rPr>
        <w:t>OVCRD</w:t>
      </w:r>
      <w:r w:rsidRPr="00A25A9C">
        <w:rPr>
          <w:rFonts w:cs="Times New Roman"/>
          <w:color w:val="000000"/>
          <w:sz w:val="18"/>
          <w:szCs w:val="20"/>
        </w:rPr>
        <w:t xml:space="preserve"> a written statement of the Actual Sales Report certified by the organization’s auditor, showing the royalty fee due to UP;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Your license to use the </w:t>
      </w:r>
      <w:r w:rsidR="009748DE">
        <w:rPr>
          <w:rFonts w:cs="Times New Roman"/>
          <w:color w:val="000000"/>
          <w:sz w:val="18"/>
          <w:szCs w:val="20"/>
        </w:rPr>
        <w:t xml:space="preserve">specified </w:t>
      </w:r>
      <w:r w:rsidRPr="00A25A9C">
        <w:rPr>
          <w:rFonts w:cs="Times New Roman"/>
          <w:color w:val="000000"/>
          <w:sz w:val="18"/>
          <w:szCs w:val="20"/>
        </w:rPr>
        <w:t>UP trademarks, logo, symbols, images and icons is time-limited and covers only the period indicated in this form’s duration of the activity</w:t>
      </w:r>
      <w:r w:rsidRPr="00A25A9C">
        <w:rPr>
          <w:rFonts w:cs="Times New Roman"/>
          <w:b/>
          <w:bCs/>
          <w:color w:val="000000"/>
          <w:sz w:val="18"/>
          <w:szCs w:val="20"/>
        </w:rPr>
        <w:t xml:space="preserve">. </w:t>
      </w:r>
      <w:r w:rsidRPr="00A25A9C">
        <w:rPr>
          <w:rFonts w:cs="Times New Roman"/>
          <w:color w:val="000000"/>
          <w:sz w:val="18"/>
          <w:szCs w:val="20"/>
        </w:rPr>
        <w:t>No extension of time to use said marks on the licensed merchandise, including the production, marketing and sale hereof will be allowed;</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Your organization’s promotion, marketing and sales materials shall contain a notice that your organization has been licensed and authorized by the University of the Philippines to use its UP trademarks, symbols, images, icons and other marks for a limited and fixed period only;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Upon expiration of the license, the organization shall automatically cease and desist in producing, promoting, marketing, and selling of any merchandise bearing the marks of UP. Your organization shall likewise cease and desist, pull-down, and delete any and all on-line and web-based marketing and sale activities;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With the use of the UP marks, your organization automatically assigns to UP your copyright on the designs for the licensed merchandise such that unless authorized by UP, through OVCRD, said designs may not be used by entities other than your organization;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This license is exclusively granted to your organization and thus, does not cover and extend to any one or all of your manufacturers, suppliers and/or distributors. Under no instance shall your manufacturer, supplier or distributor produce or sell your merchandise without the written permission from the university;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Your organization will not alter, modify and/or dilute the licensed marks, images and icons in such manner as to misuse the same or bring them into disrepute;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The design/s of the licensed merchandise shall be subject to the provisions of the UP Brand Book;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Your organization shall only produce, sell and market UP-branded merchandise of high product quality which includes accurate reproduction of the licensed marks on licensed products; and </w:t>
      </w:r>
    </w:p>
    <w:p w:rsidR="00244DE7" w:rsidRPr="00A25A9C" w:rsidRDefault="00244DE7" w:rsidP="00244DE7">
      <w:pPr>
        <w:pStyle w:val="ListParagraph"/>
        <w:spacing w:after="0" w:line="240" w:lineRule="auto"/>
        <w:rPr>
          <w:rFonts w:cs="Times New Roman"/>
          <w:color w:val="000000"/>
          <w:sz w:val="18"/>
          <w:szCs w:val="20"/>
        </w:rPr>
      </w:pPr>
    </w:p>
    <w:p w:rsidR="00244DE7" w:rsidRPr="00A25A9C" w:rsidRDefault="00244DE7" w:rsidP="00244DE7">
      <w:pPr>
        <w:pStyle w:val="ListParagraph"/>
        <w:numPr>
          <w:ilvl w:val="0"/>
          <w:numId w:val="1"/>
        </w:numPr>
        <w:autoSpaceDE w:val="0"/>
        <w:autoSpaceDN w:val="0"/>
        <w:adjustRightInd w:val="0"/>
        <w:spacing w:after="0" w:line="240" w:lineRule="auto"/>
        <w:rPr>
          <w:rFonts w:cs="Times New Roman"/>
          <w:color w:val="000000"/>
          <w:sz w:val="18"/>
          <w:szCs w:val="20"/>
        </w:rPr>
      </w:pPr>
      <w:r w:rsidRPr="00A25A9C">
        <w:rPr>
          <w:rFonts w:cs="Times New Roman"/>
          <w:color w:val="000000"/>
          <w:sz w:val="18"/>
          <w:szCs w:val="20"/>
        </w:rPr>
        <w:t xml:space="preserve">Your use of the UP marks shall be subject to the provisions of the UP Intellectual Property Rights (IPR) Policy of 2011 and such other related laws, rules and regulations. </w:t>
      </w:r>
    </w:p>
    <w:p w:rsidR="00244DE7" w:rsidRPr="00A25A9C" w:rsidRDefault="00244DE7" w:rsidP="00244DE7">
      <w:pPr>
        <w:pStyle w:val="ListParagraph"/>
        <w:spacing w:after="0" w:line="240" w:lineRule="auto"/>
        <w:rPr>
          <w:rFonts w:cs="Times New Roman"/>
          <w:color w:val="000000"/>
          <w:sz w:val="18"/>
          <w:szCs w:val="20"/>
        </w:rPr>
      </w:pPr>
    </w:p>
    <w:p w:rsidR="00A25A9C" w:rsidRPr="00A25A9C" w:rsidRDefault="00244DE7" w:rsidP="00244DE7">
      <w:pPr>
        <w:autoSpaceDE w:val="0"/>
        <w:autoSpaceDN w:val="0"/>
        <w:adjustRightInd w:val="0"/>
        <w:spacing w:after="0" w:line="240" w:lineRule="auto"/>
        <w:rPr>
          <w:rFonts w:cs="Times New Roman"/>
          <w:color w:val="000000"/>
          <w:sz w:val="18"/>
          <w:szCs w:val="20"/>
        </w:rPr>
      </w:pPr>
      <w:r w:rsidRPr="00A25A9C">
        <w:rPr>
          <w:rFonts w:cs="Times New Roman"/>
          <w:b/>
          <w:color w:val="000000"/>
          <w:sz w:val="18"/>
          <w:szCs w:val="20"/>
        </w:rPr>
        <w:t xml:space="preserve">Please sign at the space provided below to signify your understanding, conformity and/or agreement of the above terms and conditions. </w:t>
      </w:r>
    </w:p>
    <w:p w:rsidR="00244DE7" w:rsidRPr="00A25A9C" w:rsidRDefault="00244DE7" w:rsidP="00244DE7">
      <w:pPr>
        <w:autoSpaceDE w:val="0"/>
        <w:autoSpaceDN w:val="0"/>
        <w:adjustRightInd w:val="0"/>
        <w:spacing w:after="0" w:line="240" w:lineRule="auto"/>
        <w:rPr>
          <w:rFonts w:cs="Times New Roman"/>
          <w:color w:val="000000"/>
          <w:sz w:val="18"/>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498"/>
        <w:gridCol w:w="2970"/>
      </w:tblGrid>
      <w:tr w:rsidR="00244DE7" w:rsidRPr="00A25A9C" w:rsidTr="003871B6">
        <w:trPr>
          <w:jc w:val="center"/>
        </w:trPr>
        <w:tc>
          <w:tcPr>
            <w:tcW w:w="2922" w:type="dxa"/>
            <w:tcBorders>
              <w:bottom w:val="single" w:sz="4" w:space="0" w:color="auto"/>
            </w:tcBorders>
          </w:tcPr>
          <w:p w:rsidR="00244DE7" w:rsidRPr="00A25A9C" w:rsidRDefault="00244DE7" w:rsidP="003871B6">
            <w:pPr>
              <w:autoSpaceDE w:val="0"/>
              <w:autoSpaceDN w:val="0"/>
              <w:adjustRightInd w:val="0"/>
              <w:rPr>
                <w:rFonts w:cs="Times New Roman"/>
                <w:color w:val="000000"/>
                <w:sz w:val="18"/>
                <w:szCs w:val="20"/>
              </w:rPr>
            </w:pPr>
          </w:p>
        </w:tc>
        <w:tc>
          <w:tcPr>
            <w:tcW w:w="498" w:type="dxa"/>
          </w:tcPr>
          <w:p w:rsidR="00244DE7" w:rsidRPr="00A25A9C" w:rsidRDefault="00244DE7" w:rsidP="003871B6">
            <w:pPr>
              <w:autoSpaceDE w:val="0"/>
              <w:autoSpaceDN w:val="0"/>
              <w:adjustRightInd w:val="0"/>
              <w:rPr>
                <w:rFonts w:cs="Times New Roman"/>
                <w:color w:val="000000"/>
                <w:sz w:val="18"/>
                <w:szCs w:val="20"/>
              </w:rPr>
            </w:pPr>
          </w:p>
        </w:tc>
        <w:tc>
          <w:tcPr>
            <w:tcW w:w="2970" w:type="dxa"/>
            <w:tcBorders>
              <w:bottom w:val="single" w:sz="4" w:space="0" w:color="auto"/>
            </w:tcBorders>
          </w:tcPr>
          <w:p w:rsidR="00244DE7" w:rsidRPr="00A25A9C" w:rsidRDefault="00244DE7" w:rsidP="003871B6">
            <w:pPr>
              <w:autoSpaceDE w:val="0"/>
              <w:autoSpaceDN w:val="0"/>
              <w:adjustRightInd w:val="0"/>
              <w:jc w:val="center"/>
              <w:rPr>
                <w:rFonts w:cs="Times New Roman"/>
                <w:color w:val="000000"/>
                <w:sz w:val="18"/>
                <w:szCs w:val="20"/>
              </w:rPr>
            </w:pPr>
          </w:p>
        </w:tc>
      </w:tr>
      <w:tr w:rsidR="00244DE7" w:rsidRPr="00A25A9C" w:rsidTr="003871B6">
        <w:trPr>
          <w:jc w:val="center"/>
        </w:trPr>
        <w:tc>
          <w:tcPr>
            <w:tcW w:w="2922" w:type="dxa"/>
            <w:tcBorders>
              <w:top w:val="single" w:sz="4" w:space="0" w:color="auto"/>
            </w:tcBorders>
          </w:tcPr>
          <w:p w:rsidR="00244DE7" w:rsidRPr="00A25A9C" w:rsidRDefault="00244DE7" w:rsidP="003871B6">
            <w:pPr>
              <w:autoSpaceDE w:val="0"/>
              <w:autoSpaceDN w:val="0"/>
              <w:adjustRightInd w:val="0"/>
              <w:jc w:val="center"/>
              <w:rPr>
                <w:rFonts w:cs="Times New Roman"/>
                <w:b/>
                <w:color w:val="000000"/>
                <w:sz w:val="18"/>
                <w:szCs w:val="20"/>
              </w:rPr>
            </w:pPr>
            <w:r w:rsidRPr="00A25A9C">
              <w:rPr>
                <w:rFonts w:cs="Times New Roman"/>
                <w:b/>
                <w:color w:val="000000"/>
                <w:sz w:val="18"/>
                <w:szCs w:val="20"/>
              </w:rPr>
              <w:t>Signature over Printed Name</w:t>
            </w:r>
          </w:p>
          <w:p w:rsidR="00244DE7" w:rsidRPr="00A25A9C" w:rsidRDefault="00244DE7" w:rsidP="003871B6">
            <w:pPr>
              <w:autoSpaceDE w:val="0"/>
              <w:autoSpaceDN w:val="0"/>
              <w:adjustRightInd w:val="0"/>
              <w:jc w:val="center"/>
              <w:rPr>
                <w:rFonts w:cs="Times New Roman"/>
                <w:b/>
                <w:color w:val="000000"/>
                <w:sz w:val="18"/>
                <w:szCs w:val="20"/>
              </w:rPr>
            </w:pPr>
            <w:r w:rsidRPr="00A25A9C">
              <w:rPr>
                <w:rFonts w:cs="Times New Roman"/>
                <w:b/>
                <w:color w:val="000000"/>
                <w:sz w:val="18"/>
                <w:szCs w:val="20"/>
              </w:rPr>
              <w:t>Director/President</w:t>
            </w:r>
          </w:p>
        </w:tc>
        <w:tc>
          <w:tcPr>
            <w:tcW w:w="498" w:type="dxa"/>
          </w:tcPr>
          <w:p w:rsidR="00244DE7" w:rsidRPr="00A25A9C" w:rsidRDefault="00244DE7" w:rsidP="003871B6">
            <w:pPr>
              <w:autoSpaceDE w:val="0"/>
              <w:autoSpaceDN w:val="0"/>
              <w:adjustRightInd w:val="0"/>
              <w:jc w:val="center"/>
              <w:rPr>
                <w:rFonts w:cs="Times New Roman"/>
                <w:color w:val="000000"/>
                <w:sz w:val="18"/>
                <w:szCs w:val="20"/>
              </w:rPr>
            </w:pPr>
          </w:p>
        </w:tc>
        <w:tc>
          <w:tcPr>
            <w:tcW w:w="2970" w:type="dxa"/>
            <w:tcBorders>
              <w:top w:val="single" w:sz="4" w:space="0" w:color="auto"/>
            </w:tcBorders>
          </w:tcPr>
          <w:p w:rsidR="00244DE7" w:rsidRPr="00A25A9C" w:rsidRDefault="00244DE7" w:rsidP="003871B6">
            <w:pPr>
              <w:autoSpaceDE w:val="0"/>
              <w:autoSpaceDN w:val="0"/>
              <w:adjustRightInd w:val="0"/>
              <w:jc w:val="center"/>
              <w:rPr>
                <w:rFonts w:cs="Times New Roman"/>
                <w:b/>
                <w:color w:val="000000"/>
                <w:sz w:val="18"/>
                <w:szCs w:val="20"/>
              </w:rPr>
            </w:pPr>
            <w:r w:rsidRPr="00A25A9C">
              <w:rPr>
                <w:rFonts w:cs="Times New Roman"/>
                <w:b/>
                <w:color w:val="000000"/>
                <w:sz w:val="18"/>
                <w:szCs w:val="20"/>
              </w:rPr>
              <w:t>Signature over Printed Name</w:t>
            </w:r>
          </w:p>
          <w:p w:rsidR="00244DE7" w:rsidRPr="00A25A9C" w:rsidRDefault="00244DE7" w:rsidP="001032E6">
            <w:pPr>
              <w:autoSpaceDE w:val="0"/>
              <w:autoSpaceDN w:val="0"/>
              <w:adjustRightInd w:val="0"/>
              <w:jc w:val="center"/>
              <w:rPr>
                <w:rFonts w:cs="Times New Roman"/>
                <w:i/>
                <w:color w:val="000000"/>
                <w:sz w:val="18"/>
                <w:szCs w:val="20"/>
              </w:rPr>
            </w:pPr>
            <w:r w:rsidRPr="00A25A9C">
              <w:rPr>
                <w:rFonts w:cs="Times New Roman"/>
                <w:b/>
                <w:color w:val="000000"/>
                <w:sz w:val="18"/>
                <w:szCs w:val="20"/>
              </w:rPr>
              <w:t>Faculty Adviser</w:t>
            </w:r>
          </w:p>
        </w:tc>
      </w:tr>
    </w:tbl>
    <w:p w:rsidR="00244DE7" w:rsidRDefault="00244DE7" w:rsidP="00244DE7">
      <w:pPr>
        <w:autoSpaceDE w:val="0"/>
        <w:autoSpaceDN w:val="0"/>
        <w:adjustRightInd w:val="0"/>
        <w:spacing w:after="0" w:line="240" w:lineRule="auto"/>
        <w:rPr>
          <w:rFonts w:cs="Times New Roman"/>
          <w:color w:val="000000"/>
          <w:sz w:val="18"/>
          <w:szCs w:val="20"/>
        </w:rPr>
      </w:pPr>
    </w:p>
    <w:p w:rsidR="001032E6" w:rsidRPr="00A25A9C" w:rsidRDefault="001032E6" w:rsidP="00244DE7">
      <w:pPr>
        <w:autoSpaceDE w:val="0"/>
        <w:autoSpaceDN w:val="0"/>
        <w:adjustRightInd w:val="0"/>
        <w:spacing w:after="0" w:line="240" w:lineRule="auto"/>
        <w:rPr>
          <w:rFonts w:cs="Times New Roman"/>
          <w:color w:val="000000"/>
          <w:sz w:val="18"/>
          <w:szCs w:val="20"/>
        </w:rPr>
      </w:pPr>
      <w:bookmarkStart w:id="0" w:name="_GoBack"/>
      <w:bookmarkEnd w:id="0"/>
    </w:p>
    <w:p w:rsidR="00244DE7" w:rsidRDefault="004A2C97" w:rsidP="00244DE7">
      <w:pPr>
        <w:spacing w:after="0" w:line="240" w:lineRule="auto"/>
        <w:rPr>
          <w:rFonts w:ascii="Times New Roman" w:hAnsi="Times New Roman" w:cs="Times New Roman"/>
          <w:color w:val="000000"/>
          <w:sz w:val="20"/>
          <w:szCs w:val="20"/>
        </w:rPr>
      </w:pPr>
      <w:r w:rsidRPr="004A2C97">
        <w:rPr>
          <w:rFonts w:ascii="Times New Roman" w:hAnsi="Times New Roman" w:cs="Times New Roman"/>
          <w:noProof/>
          <w:color w:val="000000"/>
          <w:sz w:val="20"/>
          <w:szCs w:val="20"/>
          <w:lang w:eastAsia="en-PH"/>
        </w:rPr>
        <mc:AlternateContent>
          <mc:Choice Requires="wps">
            <w:drawing>
              <wp:inline distT="0" distB="0" distL="0" distR="0">
                <wp:extent cx="6357668" cy="1009290"/>
                <wp:effectExtent l="0" t="0" r="2413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68" cy="1009290"/>
                        </a:xfrm>
                        <a:prstGeom prst="rect">
                          <a:avLst/>
                        </a:prstGeom>
                        <a:solidFill>
                          <a:srgbClr val="FFFFCC"/>
                        </a:solidFill>
                        <a:ln w="9525">
                          <a:solidFill>
                            <a:srgbClr val="000000"/>
                          </a:solidFill>
                          <a:miter lim="800000"/>
                          <a:headEnd/>
                          <a:tailEnd/>
                        </a:ln>
                      </wps:spPr>
                      <wps:txbx>
                        <w:txbxContent>
                          <w:p w:rsidR="004A2C97" w:rsidRPr="00A25A9C" w:rsidRDefault="004A2C97" w:rsidP="004A2C97">
                            <w:pPr>
                              <w:spacing w:after="0" w:line="240" w:lineRule="auto"/>
                              <w:rPr>
                                <w:rFonts w:ascii="Times New Roman" w:hAnsi="Times New Roman" w:cs="Times New Roman"/>
                                <w:b/>
                                <w:color w:val="000000"/>
                                <w:sz w:val="20"/>
                                <w:szCs w:val="20"/>
                              </w:rPr>
                            </w:pPr>
                            <w:r w:rsidRPr="00A25A9C">
                              <w:rPr>
                                <w:rFonts w:ascii="Times New Roman" w:hAnsi="Times New Roman" w:cs="Times New Roman"/>
                                <w:b/>
                                <w:color w:val="000000"/>
                                <w:sz w:val="20"/>
                                <w:szCs w:val="20"/>
                              </w:rPr>
                              <w:t>Please be advised that your request was favorably considered and permission to use the cited UP marks is hereby granted, subject to the above terms and conditions.</w:t>
                            </w:r>
                          </w:p>
                          <w:p w:rsidR="004A2C97" w:rsidRPr="00A25A9C" w:rsidRDefault="004A2C97" w:rsidP="004A2C97">
                            <w:pPr>
                              <w:spacing w:after="0" w:line="240" w:lineRule="auto"/>
                              <w:rPr>
                                <w:rFonts w:ascii="Times New Roman" w:hAnsi="Times New Roman" w:cs="Times New Roman"/>
                                <w:color w:val="000000"/>
                                <w:sz w:val="20"/>
                                <w:szCs w:val="20"/>
                              </w:rPr>
                            </w:pPr>
                          </w:p>
                          <w:p w:rsidR="00A25A9C" w:rsidRPr="00A25A9C" w:rsidRDefault="00A25A9C" w:rsidP="004A2C97">
                            <w:pPr>
                              <w:spacing w:after="0" w:line="240" w:lineRule="auto"/>
                              <w:rPr>
                                <w:rFonts w:ascii="Times New Roman" w:hAnsi="Times New Roman" w:cs="Times New Roman"/>
                                <w:color w:val="000000"/>
                                <w:sz w:val="20"/>
                                <w:szCs w:val="20"/>
                              </w:rPr>
                            </w:pPr>
                          </w:p>
                          <w:p w:rsidR="004A2C97" w:rsidRPr="00A25A9C" w:rsidRDefault="004A2C97" w:rsidP="004A2C97">
                            <w:pPr>
                              <w:spacing w:after="0" w:line="240" w:lineRule="auto"/>
                              <w:jc w:val="center"/>
                              <w:rPr>
                                <w:rFonts w:ascii="Times New Roman" w:hAnsi="Times New Roman" w:cs="Times New Roman"/>
                                <w:b/>
                                <w:color w:val="000000"/>
                                <w:sz w:val="20"/>
                                <w:szCs w:val="20"/>
                              </w:rPr>
                            </w:pPr>
                            <w:r w:rsidRPr="00A25A9C">
                              <w:rPr>
                                <w:rFonts w:ascii="Times New Roman" w:hAnsi="Times New Roman" w:cs="Times New Roman"/>
                                <w:b/>
                                <w:color w:val="000000"/>
                                <w:sz w:val="20"/>
                                <w:szCs w:val="20"/>
                              </w:rPr>
                              <w:t>FIDEL R. NEMENZO, D.Sc.</w:t>
                            </w:r>
                          </w:p>
                          <w:p w:rsidR="004A2C97" w:rsidRPr="00A25A9C" w:rsidRDefault="004A2C97" w:rsidP="004A2C97">
                            <w:pPr>
                              <w:spacing w:after="0" w:line="240" w:lineRule="auto"/>
                              <w:jc w:val="center"/>
                              <w:rPr>
                                <w:rFonts w:ascii="Times New Roman" w:hAnsi="Times New Roman" w:cs="Times New Roman"/>
                                <w:sz w:val="20"/>
                                <w:szCs w:val="20"/>
                              </w:rPr>
                            </w:pPr>
                            <w:r w:rsidRPr="00A25A9C">
                              <w:rPr>
                                <w:rFonts w:ascii="Times New Roman" w:hAnsi="Times New Roman" w:cs="Times New Roman"/>
                                <w:color w:val="000000"/>
                                <w:sz w:val="20"/>
                                <w:szCs w:val="20"/>
                              </w:rPr>
                              <w:t>Vice Chancellor for Research and Development</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0.6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SpJwIAAEc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" fillcolor="#ffc">
                <v:textbox>
                  <w:txbxContent>
                    <w:p w:rsidR="004A2C97" w:rsidRPr="00A25A9C" w:rsidRDefault="004A2C97" w:rsidP="004A2C97">
                      <w:pPr>
                        <w:spacing w:after="0" w:line="240" w:lineRule="auto"/>
                        <w:rPr>
                          <w:rFonts w:ascii="Times New Roman" w:hAnsi="Times New Roman" w:cs="Times New Roman"/>
                          <w:b/>
                          <w:color w:val="000000"/>
                          <w:sz w:val="20"/>
                          <w:szCs w:val="20"/>
                        </w:rPr>
                      </w:pPr>
                      <w:r w:rsidRPr="00A25A9C">
                        <w:rPr>
                          <w:rFonts w:ascii="Times New Roman" w:hAnsi="Times New Roman" w:cs="Times New Roman"/>
                          <w:b/>
                          <w:color w:val="000000"/>
                          <w:sz w:val="20"/>
                          <w:szCs w:val="20"/>
                        </w:rPr>
                        <w:t>Please be advised that your request was favorably considered and permission to use the cited UP marks is hereby granted, subject to the above terms and conditions.</w:t>
                      </w:r>
                    </w:p>
                    <w:p w:rsidR="004A2C97" w:rsidRPr="00A25A9C" w:rsidRDefault="004A2C97" w:rsidP="004A2C97">
                      <w:pPr>
                        <w:spacing w:after="0" w:line="240" w:lineRule="auto"/>
                        <w:rPr>
                          <w:rFonts w:ascii="Times New Roman" w:hAnsi="Times New Roman" w:cs="Times New Roman"/>
                          <w:color w:val="000000"/>
                          <w:sz w:val="20"/>
                          <w:szCs w:val="20"/>
                        </w:rPr>
                      </w:pPr>
                    </w:p>
                    <w:p w:rsidR="00A25A9C" w:rsidRPr="00A25A9C" w:rsidRDefault="00A25A9C" w:rsidP="004A2C97">
                      <w:pPr>
                        <w:spacing w:after="0" w:line="240" w:lineRule="auto"/>
                        <w:rPr>
                          <w:rFonts w:ascii="Times New Roman" w:hAnsi="Times New Roman" w:cs="Times New Roman"/>
                          <w:color w:val="000000"/>
                          <w:sz w:val="20"/>
                          <w:szCs w:val="20"/>
                        </w:rPr>
                      </w:pPr>
                    </w:p>
                    <w:p w:rsidR="004A2C97" w:rsidRPr="00A25A9C" w:rsidRDefault="004A2C97" w:rsidP="004A2C97">
                      <w:pPr>
                        <w:spacing w:after="0" w:line="240" w:lineRule="auto"/>
                        <w:jc w:val="center"/>
                        <w:rPr>
                          <w:rFonts w:ascii="Times New Roman" w:hAnsi="Times New Roman" w:cs="Times New Roman"/>
                          <w:b/>
                          <w:color w:val="000000"/>
                          <w:sz w:val="20"/>
                          <w:szCs w:val="20"/>
                        </w:rPr>
                      </w:pPr>
                      <w:r w:rsidRPr="00A25A9C">
                        <w:rPr>
                          <w:rFonts w:ascii="Times New Roman" w:hAnsi="Times New Roman" w:cs="Times New Roman"/>
                          <w:b/>
                          <w:color w:val="000000"/>
                          <w:sz w:val="20"/>
                          <w:szCs w:val="20"/>
                        </w:rPr>
                        <w:t>FIDEL R. NEMENZO, D.Sc.</w:t>
                      </w:r>
                    </w:p>
                    <w:p w:rsidR="004A2C97" w:rsidRPr="00A25A9C" w:rsidRDefault="004A2C97" w:rsidP="004A2C97">
                      <w:pPr>
                        <w:spacing w:after="0" w:line="240" w:lineRule="auto"/>
                        <w:jc w:val="center"/>
                        <w:rPr>
                          <w:rFonts w:ascii="Times New Roman" w:hAnsi="Times New Roman" w:cs="Times New Roman"/>
                          <w:sz w:val="20"/>
                          <w:szCs w:val="20"/>
                        </w:rPr>
                      </w:pPr>
                      <w:r w:rsidRPr="00A25A9C">
                        <w:rPr>
                          <w:rFonts w:ascii="Times New Roman" w:hAnsi="Times New Roman" w:cs="Times New Roman"/>
                          <w:color w:val="000000"/>
                          <w:sz w:val="20"/>
                          <w:szCs w:val="20"/>
                        </w:rPr>
                        <w:t>Vice Chancellor for Research and Development</w:t>
                      </w:r>
                    </w:p>
                  </w:txbxContent>
                </v:textbox>
                <w10:anchorlock/>
              </v:shape>
            </w:pict>
          </mc:Fallback>
        </mc:AlternateContent>
      </w:r>
    </w:p>
    <w:sectPr w:rsidR="00244DE7" w:rsidSect="00B16943">
      <w:footerReference w:type="first" r:id="rId8"/>
      <w:type w:val="continuous"/>
      <w:pgSz w:w="12242" w:h="18722" w:code="11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7F1" w:rsidRDefault="004C67F1" w:rsidP="00A25A9C">
      <w:pPr>
        <w:spacing w:after="0" w:line="240" w:lineRule="auto"/>
      </w:pPr>
      <w:r>
        <w:separator/>
      </w:r>
    </w:p>
  </w:endnote>
  <w:endnote w:type="continuationSeparator" w:id="0">
    <w:p w:rsidR="004C67F1" w:rsidRDefault="004C67F1" w:rsidP="00A2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9C" w:rsidRPr="00467364" w:rsidRDefault="00A25A9C" w:rsidP="00A25A9C">
    <w:pPr>
      <w:pStyle w:val="Footer"/>
      <w:tabs>
        <w:tab w:val="clear" w:pos="9360"/>
        <w:tab w:val="right" w:pos="10080"/>
      </w:tabs>
      <w:rPr>
        <w:i/>
        <w:color w:val="7F7F7F" w:themeColor="text1" w:themeTint="80"/>
        <w:sz w:val="16"/>
        <w:szCs w:val="16"/>
      </w:rPr>
    </w:pPr>
    <w:r w:rsidRPr="00467364">
      <w:rPr>
        <w:i/>
        <w:color w:val="7F7F7F" w:themeColor="text1" w:themeTint="80"/>
        <w:sz w:val="16"/>
        <w:szCs w:val="16"/>
      </w:rPr>
      <w:t>University of the Philippines Diliman</w:t>
    </w:r>
    <w:r w:rsidRPr="00467364">
      <w:rPr>
        <w:i/>
        <w:color w:val="7F7F7F" w:themeColor="text1" w:themeTint="80"/>
        <w:sz w:val="16"/>
        <w:szCs w:val="16"/>
      </w:rPr>
      <w:tab/>
    </w:r>
    <w:r w:rsidRPr="00467364">
      <w:rPr>
        <w:i/>
        <w:color w:val="7F7F7F" w:themeColor="text1" w:themeTint="80"/>
        <w:sz w:val="16"/>
        <w:szCs w:val="16"/>
      </w:rPr>
      <w:tab/>
      <w:t>Intellectual Property and Technology Transfer Unit</w:t>
    </w:r>
  </w:p>
  <w:p w:rsidR="00A25A9C" w:rsidRPr="00467364" w:rsidRDefault="00A25A9C" w:rsidP="00A25A9C">
    <w:pPr>
      <w:pStyle w:val="Footer"/>
      <w:tabs>
        <w:tab w:val="clear" w:pos="9360"/>
        <w:tab w:val="right" w:pos="10080"/>
      </w:tabs>
      <w:rPr>
        <w:i/>
        <w:color w:val="7F7F7F" w:themeColor="text1" w:themeTint="80"/>
        <w:sz w:val="16"/>
        <w:szCs w:val="16"/>
      </w:rPr>
    </w:pPr>
    <w:r w:rsidRPr="00467364">
      <w:rPr>
        <w:i/>
        <w:color w:val="7F7F7F" w:themeColor="text1" w:themeTint="80"/>
        <w:sz w:val="16"/>
        <w:szCs w:val="16"/>
      </w:rPr>
      <w:t>Office of the Vice Chancellor for Research and Development</w:t>
    </w:r>
    <w:r w:rsidRPr="00467364">
      <w:rPr>
        <w:i/>
        <w:color w:val="7F7F7F" w:themeColor="text1" w:themeTint="80"/>
        <w:sz w:val="16"/>
        <w:szCs w:val="16"/>
      </w:rPr>
      <w:tab/>
    </w:r>
    <w:r w:rsidRPr="00467364">
      <w:rPr>
        <w:i/>
        <w:color w:val="7F7F7F" w:themeColor="text1" w:themeTint="80"/>
        <w:sz w:val="16"/>
        <w:szCs w:val="16"/>
      </w:rPr>
      <w:tab/>
      <w:t>Tel. Nos.   +632 981 8763 , +632 434 0650</w:t>
    </w:r>
  </w:p>
  <w:p w:rsidR="00A25A9C" w:rsidRPr="00467364" w:rsidRDefault="00A25A9C" w:rsidP="00A25A9C">
    <w:pPr>
      <w:pStyle w:val="Footer"/>
      <w:tabs>
        <w:tab w:val="clear" w:pos="9360"/>
        <w:tab w:val="right" w:pos="10080"/>
      </w:tabs>
      <w:rPr>
        <w:i/>
        <w:color w:val="7F7F7F" w:themeColor="text1" w:themeTint="80"/>
        <w:sz w:val="16"/>
        <w:szCs w:val="16"/>
      </w:rPr>
    </w:pPr>
    <w:r w:rsidRPr="00467364">
      <w:rPr>
        <w:i/>
        <w:color w:val="7F7F7F" w:themeColor="text1" w:themeTint="80"/>
        <w:sz w:val="16"/>
        <w:szCs w:val="16"/>
      </w:rPr>
      <w:t>Lower Ground Floor, PHIVOLCS Building, C.P. Garcia Avenue</w:t>
    </w:r>
    <w:r w:rsidRPr="00467364">
      <w:rPr>
        <w:i/>
        <w:color w:val="7F7F7F" w:themeColor="text1" w:themeTint="80"/>
        <w:sz w:val="16"/>
        <w:szCs w:val="16"/>
      </w:rPr>
      <w:tab/>
    </w:r>
    <w:r w:rsidRPr="00467364">
      <w:rPr>
        <w:i/>
        <w:color w:val="7F7F7F" w:themeColor="text1" w:themeTint="80"/>
        <w:sz w:val="16"/>
        <w:szCs w:val="16"/>
      </w:rPr>
      <w:tab/>
      <w:t xml:space="preserve">E-mail Address:   </w:t>
    </w:r>
    <w:hyperlink r:id="rId1" w:history="1">
      <w:r w:rsidRPr="00467364">
        <w:rPr>
          <w:rStyle w:val="Hyperlink"/>
          <w:i/>
          <w:color w:val="7F7F7F" w:themeColor="text1" w:themeTint="80"/>
          <w:sz w:val="16"/>
          <w:szCs w:val="16"/>
        </w:rPr>
        <w:t>techtransfer.ovcrd@up.edu.ph</w:t>
      </w:r>
    </w:hyperlink>
    <w:r w:rsidRPr="00467364">
      <w:rPr>
        <w:i/>
        <w:color w:val="7F7F7F" w:themeColor="text1" w:themeTint="80"/>
        <w:sz w:val="16"/>
        <w:szCs w:val="16"/>
      </w:rPr>
      <w:t xml:space="preserve"> </w:t>
    </w:r>
  </w:p>
  <w:p w:rsidR="00A25A9C" w:rsidRPr="00A25A9C" w:rsidRDefault="00A25A9C" w:rsidP="00A25A9C">
    <w:pPr>
      <w:pStyle w:val="Footer"/>
      <w:tabs>
        <w:tab w:val="clear" w:pos="9360"/>
        <w:tab w:val="right" w:pos="10080"/>
      </w:tabs>
      <w:rPr>
        <w:i/>
        <w:color w:val="7F7F7F" w:themeColor="text1" w:themeTint="80"/>
        <w:sz w:val="16"/>
        <w:szCs w:val="16"/>
      </w:rPr>
    </w:pPr>
    <w:r w:rsidRPr="00467364">
      <w:rPr>
        <w:i/>
        <w:color w:val="7F7F7F" w:themeColor="text1" w:themeTint="80"/>
        <w:sz w:val="16"/>
        <w:szCs w:val="16"/>
      </w:rPr>
      <w:t>Diliman, Quezon City 1101</w:t>
    </w:r>
    <w:r w:rsidRPr="00467364">
      <w:rPr>
        <w:i/>
        <w:color w:val="7F7F7F" w:themeColor="text1" w:themeTint="80"/>
        <w:sz w:val="16"/>
        <w:szCs w:val="16"/>
      </w:rPr>
      <w:tab/>
    </w:r>
    <w:r w:rsidRPr="00467364">
      <w:rPr>
        <w:i/>
        <w:color w:val="7F7F7F" w:themeColor="text1" w:themeTint="80"/>
        <w:sz w:val="16"/>
        <w:szCs w:val="16"/>
      </w:rPr>
      <w:tab/>
      <w:t xml:space="preserve">Website:   </w:t>
    </w:r>
    <w:hyperlink r:id="rId2" w:history="1">
      <w:r w:rsidRPr="00467364">
        <w:rPr>
          <w:rStyle w:val="Hyperlink"/>
          <w:i/>
          <w:color w:val="7F7F7F" w:themeColor="text1" w:themeTint="80"/>
          <w:sz w:val="16"/>
          <w:szCs w:val="16"/>
        </w:rPr>
        <w:t>www.ovcrd.upd.edu.ph</w:t>
      </w:r>
    </w:hyperlink>
    <w:r w:rsidRPr="00467364">
      <w:rPr>
        <w:i/>
        <w:color w:val="7F7F7F" w:themeColor="text1" w:themeTint="8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7F1" w:rsidRDefault="004C67F1" w:rsidP="00A25A9C">
      <w:pPr>
        <w:spacing w:after="0" w:line="240" w:lineRule="auto"/>
      </w:pPr>
      <w:r>
        <w:separator/>
      </w:r>
    </w:p>
  </w:footnote>
  <w:footnote w:type="continuationSeparator" w:id="0">
    <w:p w:rsidR="004C67F1" w:rsidRDefault="004C67F1" w:rsidP="00A25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49B9"/>
    <w:multiLevelType w:val="hybridMultilevel"/>
    <w:tmpl w:val="7654DABC"/>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E7"/>
    <w:rsid w:val="001032E6"/>
    <w:rsid w:val="00244DE7"/>
    <w:rsid w:val="002A4647"/>
    <w:rsid w:val="00324F7C"/>
    <w:rsid w:val="004A2C97"/>
    <w:rsid w:val="004C67F1"/>
    <w:rsid w:val="0056438C"/>
    <w:rsid w:val="009748DE"/>
    <w:rsid w:val="00A25A9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BDD21-A5CC-4AC1-BD3B-850D39A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DE7"/>
    <w:pPr>
      <w:ind w:left="720"/>
      <w:contextualSpacing/>
    </w:pPr>
  </w:style>
  <w:style w:type="table" w:styleId="TableGrid">
    <w:name w:val="Table Grid"/>
    <w:basedOn w:val="TableNormal"/>
    <w:uiPriority w:val="39"/>
    <w:rsid w:val="00244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D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25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9C"/>
  </w:style>
  <w:style w:type="paragraph" w:styleId="Footer">
    <w:name w:val="footer"/>
    <w:basedOn w:val="Normal"/>
    <w:link w:val="FooterChar"/>
    <w:uiPriority w:val="99"/>
    <w:unhideWhenUsed/>
    <w:rsid w:val="00A25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9C"/>
  </w:style>
  <w:style w:type="character" w:styleId="Hyperlink">
    <w:name w:val="Hyperlink"/>
    <w:basedOn w:val="DefaultParagraphFont"/>
    <w:uiPriority w:val="99"/>
    <w:unhideWhenUsed/>
    <w:rsid w:val="00A25A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vcrd.upd.edu.ph" TargetMode="External"/><Relationship Id="rId1" Type="http://schemas.openxmlformats.org/officeDocument/2006/relationships/hyperlink" Target="mailto:techtransfer.ovcrd@u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553</Words>
  <Characters>3325</Characters>
  <Application>Microsoft Office Word</Application>
  <DocSecurity>0</DocSecurity>
  <Lines>207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IPTTO</dc:creator>
  <cp:keywords/>
  <dc:description/>
  <cp:lastModifiedBy>IPTTO</cp:lastModifiedBy>
  <cp:revision>7</cp:revision>
  <cp:lastPrinted>2015-10-01T03:08:00Z</cp:lastPrinted>
  <dcterms:created xsi:type="dcterms:W3CDTF">2015-10-01T02:48:00Z</dcterms:created>
  <dcterms:modified xsi:type="dcterms:W3CDTF">2015-10-01T03:10:00Z</dcterms:modified>
</cp:coreProperties>
</file>